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5EAEE" w14:textId="06642B08" w:rsidR="005A6C4A" w:rsidRPr="008F667D" w:rsidRDefault="00F05661" w:rsidP="008F667D">
      <w:pPr>
        <w:rPr>
          <w:lang w:val="en-US"/>
        </w:rPr>
      </w:pPr>
      <w:r>
        <w:rPr>
          <w:lang w:val="en-US"/>
        </w:rPr>
        <w:t>Which opportunities do digital assets present to you?</w:t>
      </w:r>
      <w:r w:rsidR="008F667D">
        <w:rPr>
          <w:lang w:val="en-US"/>
        </w:rPr>
        <w:t xml:space="preserve"> </w:t>
      </w:r>
      <w:r w:rsidR="005A6C4A" w:rsidRPr="005A6C4A">
        <w:rPr>
          <w:lang w:val="en-US"/>
        </w:rPr>
        <w:t xml:space="preserve">To answer this question, you need to know your perspective. This </w:t>
      </w:r>
      <w:r>
        <w:rPr>
          <w:lang w:val="en-US"/>
        </w:rPr>
        <w:t xml:space="preserve">book in the </w:t>
      </w:r>
      <w:r w:rsidR="005A6C4A" w:rsidRPr="005A6C4A">
        <w:rPr>
          <w:lang w:val="en-US"/>
        </w:rPr>
        <w:t xml:space="preserve">Cambridge elements </w:t>
      </w:r>
      <w:r>
        <w:rPr>
          <w:lang w:val="en-US"/>
        </w:rPr>
        <w:t>series</w:t>
      </w:r>
      <w:r w:rsidR="005A6C4A" w:rsidRPr="005A6C4A">
        <w:rPr>
          <w:lang w:val="en-US"/>
        </w:rPr>
        <w:t xml:space="preserve"> is written from the point of view of the investor</w:t>
      </w:r>
      <w:r>
        <w:rPr>
          <w:lang w:val="en-US"/>
        </w:rPr>
        <w:t>—or, better, from the point of view of the person managing a diversified portfolio and thinking about including digital assets in</w:t>
      </w:r>
      <w:r w:rsidR="005A6C4A" w:rsidRPr="005A6C4A">
        <w:rPr>
          <w:lang w:val="en-US"/>
        </w:rPr>
        <w:t xml:space="preserve"> this portfolio.</w:t>
      </w:r>
      <w:r w:rsidR="008F667D">
        <w:rPr>
          <w:lang w:val="en-US"/>
        </w:rPr>
        <w:t xml:space="preserve"> </w:t>
      </w:r>
      <w:r w:rsidR="005A6C4A" w:rsidRPr="005A6C4A">
        <w:rPr>
          <w:rFonts w:ascii="Arial" w:hAnsi="Arial" w:cs="Arial"/>
          <w:lang w:val="en-US"/>
        </w:rPr>
        <w:t xml:space="preserve">In this book, we </w:t>
      </w:r>
    </w:p>
    <w:p w14:paraId="1C2271B2" w14:textId="77777777" w:rsidR="005A6C4A" w:rsidRPr="005051CA" w:rsidRDefault="005A6C4A" w:rsidP="005A6C4A">
      <w:pPr>
        <w:pStyle w:val="KeinLeerraum"/>
        <w:numPr>
          <w:ilvl w:val="0"/>
          <w:numId w:val="2"/>
        </w:numPr>
        <w:rPr>
          <w:rFonts w:ascii="Arial" w:hAnsi="Arial" w:cs="Arial"/>
          <w:lang w:val="en-US"/>
        </w:rPr>
      </w:pPr>
      <w:r w:rsidRPr="005051CA">
        <w:rPr>
          <w:rFonts w:ascii="Arial" w:hAnsi="Arial" w:cs="Arial"/>
          <w:lang w:val="en-US"/>
        </w:rPr>
        <w:t>Explain the underlying principles of digital assets.</w:t>
      </w:r>
    </w:p>
    <w:p w14:paraId="70708D35" w14:textId="77777777" w:rsidR="005A6C4A" w:rsidRPr="005051CA" w:rsidRDefault="005A6C4A" w:rsidP="005A6C4A">
      <w:pPr>
        <w:pStyle w:val="KeinLeerraum"/>
        <w:numPr>
          <w:ilvl w:val="0"/>
          <w:numId w:val="2"/>
        </w:numPr>
        <w:rPr>
          <w:rFonts w:ascii="Arial" w:hAnsi="Arial" w:cs="Arial"/>
          <w:lang w:val="en-US"/>
        </w:rPr>
      </w:pPr>
      <w:r w:rsidRPr="005051CA">
        <w:rPr>
          <w:rFonts w:ascii="Arial" w:hAnsi="Arial" w:cs="Arial"/>
          <w:lang w:val="en-US"/>
        </w:rPr>
        <w:t>Differentiate between the use cases of digital assets and their respective value propositions</w:t>
      </w:r>
      <w:r>
        <w:rPr>
          <w:rFonts w:ascii="Arial" w:hAnsi="Arial" w:cs="Arial"/>
          <w:lang w:val="en-US"/>
        </w:rPr>
        <w:t>.</w:t>
      </w:r>
    </w:p>
    <w:p w14:paraId="28E61866" w14:textId="77777777" w:rsidR="005A6C4A" w:rsidRPr="005051CA" w:rsidRDefault="005A6C4A" w:rsidP="005A6C4A">
      <w:pPr>
        <w:pStyle w:val="KeinLeerraum"/>
        <w:numPr>
          <w:ilvl w:val="0"/>
          <w:numId w:val="2"/>
        </w:numPr>
        <w:rPr>
          <w:rFonts w:ascii="Arial" w:hAnsi="Arial" w:cs="Arial"/>
          <w:lang w:val="en-US"/>
        </w:rPr>
      </w:pPr>
      <w:r w:rsidRPr="005051CA">
        <w:rPr>
          <w:rFonts w:ascii="Arial" w:hAnsi="Arial" w:cs="Arial"/>
          <w:lang w:val="en-US"/>
        </w:rPr>
        <w:t>Expose different metrics, valuation methods, and risk models applicable to digital assets</w:t>
      </w:r>
      <w:r>
        <w:rPr>
          <w:rFonts w:ascii="Arial" w:hAnsi="Arial" w:cs="Arial"/>
          <w:lang w:val="en-US"/>
        </w:rPr>
        <w:t>.</w:t>
      </w:r>
    </w:p>
    <w:p w14:paraId="1E42DB7F" w14:textId="77777777" w:rsidR="005A6C4A" w:rsidRDefault="005A6C4A" w:rsidP="005A6C4A">
      <w:pPr>
        <w:pStyle w:val="KeinLeerraum"/>
        <w:numPr>
          <w:ilvl w:val="0"/>
          <w:numId w:val="2"/>
        </w:numPr>
        <w:rPr>
          <w:rFonts w:ascii="Arial" w:hAnsi="Arial" w:cs="Arial"/>
          <w:lang w:val="en-US"/>
        </w:rPr>
      </w:pPr>
      <w:r w:rsidRPr="005051CA">
        <w:rPr>
          <w:rFonts w:ascii="Arial" w:hAnsi="Arial" w:cs="Arial"/>
          <w:lang w:val="en-US"/>
        </w:rPr>
        <w:t>Develop a framework for digital asset inclusion (or exclusion) in an investment portfolio.</w:t>
      </w:r>
    </w:p>
    <w:p w14:paraId="206C19C2" w14:textId="77777777" w:rsidR="005A6C4A" w:rsidRDefault="005A6C4A" w:rsidP="005A6C4A">
      <w:pPr>
        <w:pStyle w:val="KeinLeerraum"/>
        <w:rPr>
          <w:rFonts w:ascii="Arial" w:hAnsi="Arial" w:cs="Arial"/>
          <w:lang w:val="en-US"/>
        </w:rPr>
      </w:pPr>
    </w:p>
    <w:p w14:paraId="6E24F9BF" w14:textId="058AD72B" w:rsidR="005A6C4A" w:rsidRPr="005051CA" w:rsidRDefault="00F05661" w:rsidP="005A6C4A">
      <w:pPr>
        <w:pStyle w:val="KeinLeerraum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 sum, in this book, we address digital assets' use cases, value drivers, and risk profiles</w:t>
      </w:r>
      <w:r w:rsidR="005A6C4A" w:rsidRPr="005051CA">
        <w:rPr>
          <w:rFonts w:ascii="Arial" w:hAnsi="Arial" w:cs="Arial"/>
          <w:lang w:val="en-US"/>
        </w:rPr>
        <w:t xml:space="preserve">. </w:t>
      </w:r>
      <w:r w:rsidR="008F667D">
        <w:rPr>
          <w:rFonts w:ascii="Arial" w:hAnsi="Arial" w:cs="Arial"/>
          <w:lang w:val="en-US"/>
        </w:rPr>
        <w:t>U</w:t>
      </w:r>
      <w:r w:rsidR="005A6C4A" w:rsidRPr="005051CA">
        <w:rPr>
          <w:rFonts w:ascii="Arial" w:hAnsi="Arial" w:cs="Arial"/>
          <w:lang w:val="en-US"/>
        </w:rPr>
        <w:t xml:space="preserve">nderstanding digital assets means knowing how to use </w:t>
      </w:r>
      <w:r w:rsidR="008F667D">
        <w:rPr>
          <w:rFonts w:ascii="Arial" w:hAnsi="Arial" w:cs="Arial"/>
          <w:lang w:val="en-US"/>
        </w:rPr>
        <w:t>This is a pragmatic approach</w:t>
      </w:r>
      <w:r w:rsidR="005A6C4A" w:rsidRPr="005051CA">
        <w:rPr>
          <w:rFonts w:ascii="Arial" w:hAnsi="Arial" w:cs="Arial"/>
          <w:lang w:val="en-US"/>
        </w:rPr>
        <w:t xml:space="preserve">. It is pragmatic because it looks for the use of digital assets rather than their underlying technology. Naturally, the technology impacts the use case. </w:t>
      </w:r>
      <w:r w:rsidR="005A6C4A">
        <w:rPr>
          <w:rFonts w:ascii="Arial" w:hAnsi="Arial" w:cs="Arial"/>
          <w:lang w:val="en-US"/>
        </w:rPr>
        <w:t>However, as an investor or a portfolio manager, the focus is to know how the digital asset behaves economically instead of</w:t>
      </w:r>
      <w:r w:rsidR="005A6C4A" w:rsidRPr="005051CA">
        <w:rPr>
          <w:rFonts w:ascii="Arial" w:hAnsi="Arial" w:cs="Arial"/>
          <w:lang w:val="en-US"/>
        </w:rPr>
        <w:t xml:space="preserve"> technically.</w:t>
      </w:r>
    </w:p>
    <w:p w14:paraId="6B9793B8" w14:textId="77777777" w:rsidR="005A6C4A" w:rsidRDefault="005A6C4A" w:rsidP="005A6C4A">
      <w:pPr>
        <w:pStyle w:val="KeinLeerraum"/>
        <w:rPr>
          <w:rFonts w:ascii="Arial" w:hAnsi="Arial" w:cs="Arial"/>
          <w:lang w:val="en-US"/>
        </w:rPr>
      </w:pPr>
    </w:p>
    <w:p w14:paraId="310AE0CC" w14:textId="40596FED" w:rsidR="005A6C4A" w:rsidRPr="005051CA" w:rsidRDefault="005A6C4A" w:rsidP="005A6C4A">
      <w:pPr>
        <w:pStyle w:val="KeinLeerraum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</w:t>
      </w:r>
      <w:r w:rsidR="00F05661">
        <w:rPr>
          <w:rFonts w:ascii="Arial" w:hAnsi="Arial" w:cs="Arial"/>
          <w:lang w:val="en-US"/>
        </w:rPr>
        <w:t>is</w:t>
      </w:r>
      <w:r w:rsidRPr="005051CA">
        <w:rPr>
          <w:rFonts w:ascii="Arial" w:hAnsi="Arial" w:cs="Arial"/>
          <w:lang w:val="en-US"/>
        </w:rPr>
        <w:t xml:space="preserve"> pragmatist stance views digital assets as an evolving space. We are currently at the beginning of this development. Their use cases are still emerging</w:t>
      </w:r>
      <w:r>
        <w:rPr>
          <w:rFonts w:ascii="Arial" w:hAnsi="Arial" w:cs="Arial"/>
          <w:lang w:val="en-US"/>
        </w:rPr>
        <w:t>; even</w:t>
      </w:r>
      <w:r w:rsidRPr="005051CA">
        <w:rPr>
          <w:rFonts w:ascii="Arial" w:hAnsi="Arial" w:cs="Arial"/>
          <w:lang w:val="en-US"/>
        </w:rPr>
        <w:t xml:space="preserve"> the base technology can undergo several changes. Even risk assessment is challenging because of the limited timeframe and data volume. </w:t>
      </w:r>
      <w:r w:rsidR="00D43D77" w:rsidRPr="005051CA">
        <w:rPr>
          <w:rFonts w:ascii="Arial" w:hAnsi="Arial" w:cs="Arial"/>
          <w:lang w:val="en-US"/>
        </w:rPr>
        <w:t xml:space="preserve">At this stage – well, at any – it </w:t>
      </w:r>
      <w:r w:rsidR="00D43D77">
        <w:rPr>
          <w:rFonts w:ascii="Arial" w:hAnsi="Arial" w:cs="Arial"/>
          <w:lang w:val="en-US"/>
        </w:rPr>
        <w:t>isn't easy</w:t>
      </w:r>
      <w:r w:rsidR="00D43D77" w:rsidRPr="005051CA">
        <w:rPr>
          <w:rFonts w:ascii="Arial" w:hAnsi="Arial" w:cs="Arial"/>
          <w:lang w:val="en-US"/>
        </w:rPr>
        <w:t xml:space="preserve"> to choose winners. </w:t>
      </w:r>
      <w:r>
        <w:rPr>
          <w:rFonts w:ascii="Arial" w:hAnsi="Arial" w:cs="Arial"/>
          <w:lang w:val="en-US"/>
        </w:rPr>
        <w:t>With</w:t>
      </w:r>
      <w:r w:rsidRPr="005051CA">
        <w:rPr>
          <w:rFonts w:ascii="Arial" w:hAnsi="Arial" w:cs="Arial"/>
          <w:lang w:val="en-US"/>
        </w:rPr>
        <w:t xml:space="preserve"> the expansion of the digital assets space, solidifying use cases, and even accumulating </w:t>
      </w:r>
      <w:r w:rsidR="00F05661">
        <w:rPr>
          <w:rFonts w:ascii="Arial" w:hAnsi="Arial" w:cs="Arial"/>
          <w:lang w:val="en-US"/>
        </w:rPr>
        <w:t xml:space="preserve">knowledge from </w:t>
      </w:r>
      <w:r w:rsidRPr="005051CA">
        <w:rPr>
          <w:rFonts w:ascii="Arial" w:hAnsi="Arial" w:cs="Arial"/>
          <w:lang w:val="en-US"/>
        </w:rPr>
        <w:t>its pitfalls and crises, investors will learn more about digital assets, and the models will improve.</w:t>
      </w:r>
    </w:p>
    <w:p w14:paraId="0BB8BD49" w14:textId="77777777" w:rsidR="005A6C4A" w:rsidRDefault="005A6C4A" w:rsidP="005A6C4A">
      <w:pPr>
        <w:pStyle w:val="KeinLeerraum"/>
        <w:rPr>
          <w:rFonts w:ascii="Arial" w:hAnsi="Arial" w:cs="Arial"/>
          <w:lang w:val="en-US"/>
        </w:rPr>
      </w:pPr>
    </w:p>
    <w:p w14:paraId="4942638C" w14:textId="6AB1252B" w:rsidR="005A6C4A" w:rsidRPr="005051CA" w:rsidRDefault="005A6C4A" w:rsidP="005A6C4A">
      <w:pPr>
        <w:pStyle w:val="KeinLeerraum"/>
        <w:rPr>
          <w:rFonts w:ascii="Arial" w:hAnsi="Arial" w:cs="Arial"/>
          <w:lang w:val="en-US"/>
        </w:rPr>
      </w:pPr>
      <w:r w:rsidRPr="005051CA">
        <w:rPr>
          <w:rFonts w:ascii="Arial" w:hAnsi="Arial" w:cs="Arial"/>
          <w:lang w:val="en-US"/>
        </w:rPr>
        <w:t xml:space="preserve">In principle, any investment creates value by making something </w:t>
      </w:r>
      <w:r>
        <w:rPr>
          <w:rFonts w:ascii="Arial" w:hAnsi="Arial" w:cs="Arial"/>
          <w:lang w:val="en-US"/>
        </w:rPr>
        <w:t>consumers</w:t>
      </w:r>
      <w:r w:rsidRPr="005051CA">
        <w:rPr>
          <w:rFonts w:ascii="Arial" w:hAnsi="Arial" w:cs="Arial"/>
          <w:lang w:val="en-US"/>
        </w:rPr>
        <w:t xml:space="preserve"> want. Financial assets facilitate this creation</w:t>
      </w:r>
      <w:r>
        <w:rPr>
          <w:rFonts w:ascii="Arial" w:hAnsi="Arial" w:cs="Arial"/>
          <w:lang w:val="en-US"/>
        </w:rPr>
        <w:t>,</w:t>
      </w:r>
      <w:r w:rsidRPr="005051CA">
        <w:rPr>
          <w:rFonts w:ascii="Arial" w:hAnsi="Arial" w:cs="Arial"/>
          <w:lang w:val="en-US"/>
        </w:rPr>
        <w:t xml:space="preserve"> mobilizing financial resources and directing them to venues for potential value creation. Financial investments often solve specific problems in market processes, such as bridging </w:t>
      </w:r>
      <w:r w:rsidR="00F05661">
        <w:rPr>
          <w:rFonts w:ascii="Arial" w:hAnsi="Arial" w:cs="Arial"/>
          <w:lang w:val="en-US"/>
        </w:rPr>
        <w:t>capital scarcity, providing liquidity, enabling risk-takers to act, mitigating risk, and qualifying and differentiating steps in the chain of value addition.</w:t>
      </w:r>
    </w:p>
    <w:p w14:paraId="63C6C52D" w14:textId="116160D0" w:rsidR="005A6C4A" w:rsidRDefault="00437E8F" w:rsidP="005A6C4A">
      <w:pPr>
        <w:pStyle w:val="KeinLeerraum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F05661">
        <w:rPr>
          <w:rFonts w:ascii="Arial" w:hAnsi="Arial" w:cs="Arial"/>
          <w:lang w:val="en-US"/>
        </w:rPr>
        <w:t>Viewing digital assets</w:t>
      </w:r>
      <w:r w:rsidR="005A6C4A" w:rsidRPr="005051CA">
        <w:rPr>
          <w:rFonts w:ascii="Arial" w:hAnsi="Arial" w:cs="Arial"/>
          <w:lang w:val="en-US"/>
        </w:rPr>
        <w:t xml:space="preserve"> as a type of financial investment, </w:t>
      </w:r>
      <w:r w:rsidR="00F05661">
        <w:rPr>
          <w:rFonts w:ascii="Arial" w:hAnsi="Arial" w:cs="Arial"/>
          <w:lang w:val="en-US"/>
        </w:rPr>
        <w:t xml:space="preserve">this book assesses their use cases in terms of whether they, in the end, make something consumers want. </w:t>
      </w:r>
      <w:r w:rsidR="005A6C4A" w:rsidRPr="005051CA">
        <w:rPr>
          <w:rFonts w:ascii="Arial" w:hAnsi="Arial" w:cs="Arial"/>
          <w:lang w:val="en-US"/>
        </w:rPr>
        <w:t xml:space="preserve"> This value proposition is what investors look for when considering a digital asset. Simply put, a digital asset is only as good as its use case.</w:t>
      </w:r>
    </w:p>
    <w:p w14:paraId="2057099F" w14:textId="77777777" w:rsidR="00F05661" w:rsidRDefault="00F05661" w:rsidP="005A6C4A">
      <w:pPr>
        <w:pStyle w:val="KeinLeerraum"/>
        <w:rPr>
          <w:rFonts w:ascii="Arial" w:hAnsi="Arial" w:cs="Arial"/>
          <w:lang w:val="en-US"/>
        </w:rPr>
      </w:pPr>
    </w:p>
    <w:p w14:paraId="479C0D31" w14:textId="0B71FFD5" w:rsidR="005A6C4A" w:rsidRPr="008F667D" w:rsidRDefault="00F05661" w:rsidP="008F667D">
      <w:pPr>
        <w:pStyle w:val="KeinLeerraum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So, what is in </w:t>
      </w:r>
      <w:r w:rsidR="00437E8F">
        <w:rPr>
          <w:rFonts w:ascii="Arial" w:hAnsi="Arial" w:cs="Arial"/>
          <w:lang w:val="en-US"/>
        </w:rPr>
        <w:t xml:space="preserve">there </w:t>
      </w:r>
      <w:r>
        <w:rPr>
          <w:rFonts w:ascii="Arial" w:hAnsi="Arial" w:cs="Arial"/>
          <w:lang w:val="en-US"/>
        </w:rPr>
        <w:t xml:space="preserve">for you </w:t>
      </w:r>
      <w:r w:rsidR="00437E8F">
        <w:rPr>
          <w:rFonts w:ascii="Arial" w:hAnsi="Arial" w:cs="Arial"/>
          <w:lang w:val="en-US"/>
        </w:rPr>
        <w:t>about</w:t>
      </w:r>
      <w:r>
        <w:rPr>
          <w:rFonts w:ascii="Arial" w:hAnsi="Arial" w:cs="Arial"/>
          <w:lang w:val="en-US"/>
        </w:rPr>
        <w:t xml:space="preserve"> digital assets? If you are an investor or portfolio manager, this book </w:t>
      </w:r>
      <w:proofErr w:type="gramStart"/>
      <w:r>
        <w:rPr>
          <w:rFonts w:ascii="Arial" w:hAnsi="Arial" w:cs="Arial"/>
          <w:lang w:val="en-US"/>
        </w:rPr>
        <w:t>tells to</w:t>
      </w:r>
      <w:proofErr w:type="gramEnd"/>
      <w:r>
        <w:rPr>
          <w:rFonts w:ascii="Arial" w:hAnsi="Arial" w:cs="Arial"/>
          <w:lang w:val="en-US"/>
        </w:rPr>
        <w:t xml:space="preserve"> you what to look at, how to mitigate risk and how to include these assets in a balanced </w:t>
      </w:r>
      <w:proofErr w:type="spellStart"/>
      <w:r>
        <w:rPr>
          <w:rFonts w:ascii="Arial" w:hAnsi="Arial" w:cs="Arial"/>
          <w:lang w:val="en-US"/>
        </w:rPr>
        <w:t>prrtfolio</w:t>
      </w:r>
      <w:proofErr w:type="spellEnd"/>
      <w:r>
        <w:rPr>
          <w:rFonts w:ascii="Arial" w:hAnsi="Arial" w:cs="Arial"/>
          <w:lang w:val="en-US"/>
        </w:rPr>
        <w:t>.</w:t>
      </w:r>
    </w:p>
    <w:sectPr w:rsidR="005A6C4A" w:rsidRPr="008F66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C0746"/>
    <w:multiLevelType w:val="hybridMultilevel"/>
    <w:tmpl w:val="56542FAE"/>
    <w:lvl w:ilvl="0" w:tplc="2D50BF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D801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BC59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BE0F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A28A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55ABE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B20A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DCC06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616C4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52DEC"/>
    <w:multiLevelType w:val="hybridMultilevel"/>
    <w:tmpl w:val="EE2CCFEA"/>
    <w:lvl w:ilvl="0" w:tplc="CE44A4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EE64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94AF1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8455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6C65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B12A0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8E769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ACB3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AC12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916DB5"/>
    <w:multiLevelType w:val="hybridMultilevel"/>
    <w:tmpl w:val="286C0C42"/>
    <w:lvl w:ilvl="0" w:tplc="0F3AA9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1C32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4C99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242D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9A73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2B034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8AC3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7E9E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26ABE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5523993">
    <w:abstractNumId w:val="2"/>
  </w:num>
  <w:num w:numId="2" w16cid:durableId="845900043">
    <w:abstractNumId w:val="0"/>
  </w:num>
  <w:num w:numId="3" w16cid:durableId="336076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4A"/>
    <w:rsid w:val="00437E8F"/>
    <w:rsid w:val="00550F8F"/>
    <w:rsid w:val="005A6C4A"/>
    <w:rsid w:val="008F667D"/>
    <w:rsid w:val="00AE50CF"/>
    <w:rsid w:val="00C0610A"/>
    <w:rsid w:val="00D43D77"/>
    <w:rsid w:val="00DF2347"/>
    <w:rsid w:val="00F05661"/>
    <w:rsid w:val="00FC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32D608"/>
  <w15:chartTrackingRefBased/>
  <w15:docId w15:val="{0FEB644E-43D9-4583-BA68-58F3CFCD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A6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6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A6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6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A6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6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6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6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6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A6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6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A6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A6C4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6C4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A6C4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6C4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6C4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6C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A6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A6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6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6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A6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A6C4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A6C4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A6C4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A6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6C4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A6C4A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5A6C4A"/>
    <w:pPr>
      <w:spacing w:after="0" w:line="240" w:lineRule="auto"/>
    </w:pPr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2293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Schneider</dc:creator>
  <cp:keywords/>
  <dc:description/>
  <cp:lastModifiedBy>Henrique Schneider</cp:lastModifiedBy>
  <cp:revision>3</cp:revision>
  <dcterms:created xsi:type="dcterms:W3CDTF">2024-04-06T10:03:00Z</dcterms:created>
  <dcterms:modified xsi:type="dcterms:W3CDTF">2024-04-06T14:59:00Z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be8a7954-577c-4309-a083-c943e9c36ebc</vt:lpwstr>
  </property>
</Properties>
</file>