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4D2BA" w14:textId="4105FA7C" w:rsidR="00F343BE" w:rsidRPr="00F343BE" w:rsidRDefault="00F343BE" w:rsidP="00571F39">
      <w:pPr>
        <w:spacing w:line="480" w:lineRule="auto"/>
        <w:rPr>
          <w:b/>
          <w:bCs/>
          <w:sz w:val="22"/>
          <w:szCs w:val="22"/>
        </w:rPr>
      </w:pPr>
      <w:r>
        <w:rPr>
          <w:b/>
          <w:bCs/>
          <w:sz w:val="22"/>
          <w:szCs w:val="22"/>
        </w:rPr>
        <w:t>THOMAS MOYNIHAN – VIDEO ABSTRACT TRANSCRIPT:</w:t>
      </w:r>
    </w:p>
    <w:p w14:paraId="39918A74" w14:textId="4774F917" w:rsidR="00571F39" w:rsidRPr="00F343BE" w:rsidRDefault="00571F39" w:rsidP="00571F39">
      <w:pPr>
        <w:spacing w:line="480" w:lineRule="auto"/>
        <w:rPr>
          <w:sz w:val="22"/>
          <w:szCs w:val="22"/>
        </w:rPr>
      </w:pPr>
      <w:r w:rsidRPr="00F343BE">
        <w:rPr>
          <w:sz w:val="22"/>
          <w:szCs w:val="22"/>
        </w:rPr>
        <w:t>The future is of interest to everyone. This is because we are all headed there, whether we like it or not. So, too, is the concept of contingency of interest to everyone. We all apply it every day, every time we commit to a decision.</w:t>
      </w:r>
    </w:p>
    <w:p w14:paraId="5A941311" w14:textId="6671CEA8" w:rsidR="00571F39" w:rsidRPr="00F343BE" w:rsidRDefault="00571F39" w:rsidP="00571F39">
      <w:pPr>
        <w:spacing w:line="480" w:lineRule="auto"/>
        <w:rPr>
          <w:sz w:val="22"/>
          <w:szCs w:val="22"/>
        </w:rPr>
      </w:pPr>
      <w:r w:rsidRPr="00F343BE">
        <w:rPr>
          <w:sz w:val="22"/>
          <w:szCs w:val="22"/>
        </w:rPr>
        <w:t>For example, I understand that, if I hadn’t stopped to buy a coffee, I would not have missed my bus. This is an application of the concept of contingency: of the understanding that things don’t have to play out the way they in fact do, that events can go otherwise hinging on chance or choice.</w:t>
      </w:r>
    </w:p>
    <w:p w14:paraId="242B15B2" w14:textId="77777777" w:rsidR="00571F39" w:rsidRPr="00F343BE" w:rsidRDefault="00571F39" w:rsidP="00571F39">
      <w:pPr>
        <w:spacing w:line="480" w:lineRule="auto"/>
        <w:rPr>
          <w:sz w:val="22"/>
          <w:szCs w:val="22"/>
        </w:rPr>
      </w:pPr>
      <w:r w:rsidRPr="00F343BE">
        <w:rPr>
          <w:sz w:val="22"/>
          <w:szCs w:val="22"/>
        </w:rPr>
        <w:t xml:space="preserve">This notion underwrites – at the most fundamental level – our understanding of what it even is to be an agent. Without it, the idea of freedom and responsibility makes no sense. We impute culpability when we acknowledge that the culprit </w:t>
      </w:r>
      <w:r w:rsidRPr="00F343BE">
        <w:rPr>
          <w:i/>
          <w:iCs/>
          <w:sz w:val="22"/>
          <w:szCs w:val="22"/>
        </w:rPr>
        <w:t xml:space="preserve">could have </w:t>
      </w:r>
      <w:r w:rsidRPr="00F343BE">
        <w:rPr>
          <w:sz w:val="22"/>
          <w:szCs w:val="22"/>
        </w:rPr>
        <w:t>acted otherwise, and, if they had done so, their crime – and the consequent harm – would not have been committed.</w:t>
      </w:r>
    </w:p>
    <w:p w14:paraId="44334DA2" w14:textId="42CDA64E" w:rsidR="00571F39" w:rsidRPr="00F343BE" w:rsidRDefault="00571F39" w:rsidP="00571F39">
      <w:pPr>
        <w:spacing w:line="480" w:lineRule="auto"/>
        <w:rPr>
          <w:sz w:val="22"/>
          <w:szCs w:val="22"/>
        </w:rPr>
      </w:pPr>
      <w:r w:rsidRPr="00F343BE">
        <w:rPr>
          <w:sz w:val="22"/>
          <w:szCs w:val="22"/>
        </w:rPr>
        <w:t xml:space="preserve">These twin concepts, of contingency and futurity, are amongst the most important concepts we have. Historically speaking, their combined application has been responsible for the sparking of every single progressive movement, reformation, or renovation. It is only by understanding that the way of the world is not inevitable, and can thus be otherwise, that anyone has ever intentionally attempted to </w:t>
      </w:r>
      <w:r w:rsidRPr="00F343BE">
        <w:rPr>
          <w:i/>
          <w:iCs/>
          <w:sz w:val="22"/>
          <w:szCs w:val="22"/>
        </w:rPr>
        <w:t>make it</w:t>
      </w:r>
      <w:r w:rsidRPr="00F343BE">
        <w:rPr>
          <w:sz w:val="22"/>
          <w:szCs w:val="22"/>
        </w:rPr>
        <w:t xml:space="preserve"> otherwise. Understanding this sits beneath all of history’s attempts to make the future a better, more just, place; it foments all attempts to overcome the errors and prejudices of the past.</w:t>
      </w:r>
    </w:p>
    <w:p w14:paraId="4F9D66D7" w14:textId="47E3979C" w:rsidR="004F0F65" w:rsidRPr="00F343BE" w:rsidRDefault="00571F39" w:rsidP="00571F39">
      <w:pPr>
        <w:spacing w:line="480" w:lineRule="auto"/>
        <w:rPr>
          <w:i/>
          <w:iCs/>
          <w:sz w:val="22"/>
          <w:szCs w:val="22"/>
        </w:rPr>
      </w:pPr>
      <w:r w:rsidRPr="00F343BE">
        <w:rPr>
          <w:sz w:val="22"/>
          <w:szCs w:val="22"/>
        </w:rPr>
        <w:t>This way, the concepts of contingency and futurity are also inextricably linked. In our personal lives, we care about our future because our decisions and actions</w:t>
      </w:r>
      <w:r w:rsidRPr="00F343BE">
        <w:rPr>
          <w:i/>
          <w:iCs/>
          <w:sz w:val="22"/>
          <w:szCs w:val="22"/>
        </w:rPr>
        <w:t xml:space="preserve"> influence</w:t>
      </w:r>
      <w:r w:rsidRPr="00F343BE">
        <w:rPr>
          <w:sz w:val="22"/>
          <w:szCs w:val="22"/>
        </w:rPr>
        <w:t xml:space="preserve"> that future. And actions only matter, or exert influence, if the consequences they unleash would not otherwise have happened. That is, if they are </w:t>
      </w:r>
      <w:r w:rsidRPr="00F343BE">
        <w:rPr>
          <w:i/>
          <w:iCs/>
          <w:sz w:val="22"/>
          <w:szCs w:val="22"/>
        </w:rPr>
        <w:t>contingent.</w:t>
      </w:r>
      <w:r w:rsidRPr="00F343BE">
        <w:rPr>
          <w:sz w:val="22"/>
          <w:szCs w:val="22"/>
        </w:rPr>
        <w:t xml:space="preserve"> Their influence rests in the recognition that, had they not taken place, then everything afterward would have unfolded differently too. Moreover, they matter more in proportion to how </w:t>
      </w:r>
      <w:r w:rsidRPr="00F343BE">
        <w:rPr>
          <w:i/>
          <w:iCs/>
          <w:sz w:val="22"/>
          <w:szCs w:val="22"/>
        </w:rPr>
        <w:t xml:space="preserve">lasting </w:t>
      </w:r>
      <w:r w:rsidRPr="00F343BE">
        <w:rPr>
          <w:sz w:val="22"/>
          <w:szCs w:val="22"/>
        </w:rPr>
        <w:t xml:space="preserve">these impacts are – and peerlessly so if they cannot be reversed. Or, in other words are </w:t>
      </w:r>
      <w:r w:rsidRPr="00F343BE">
        <w:rPr>
          <w:i/>
          <w:iCs/>
          <w:sz w:val="22"/>
          <w:szCs w:val="22"/>
        </w:rPr>
        <w:t>indelible.</w:t>
      </w:r>
    </w:p>
    <w:p w14:paraId="3575DFA7" w14:textId="77777777" w:rsidR="004F0F65" w:rsidRPr="00F343BE" w:rsidRDefault="004F0F65" w:rsidP="004F0F65">
      <w:pPr>
        <w:spacing w:line="480" w:lineRule="auto"/>
        <w:rPr>
          <w:sz w:val="22"/>
          <w:szCs w:val="22"/>
        </w:rPr>
      </w:pPr>
      <w:r w:rsidRPr="00F343BE">
        <w:rPr>
          <w:sz w:val="22"/>
          <w:szCs w:val="22"/>
        </w:rPr>
        <w:t>Sometimes, applying these concepts is matter of life or death. I understand that if I injure myself severely enough, I may die prematurely, which is an outcome which cannot be reversed. Because I know such an outcome is not inevitable, I daily endeavour to avoid it.</w:t>
      </w:r>
    </w:p>
    <w:p w14:paraId="39D625CD" w14:textId="2DCA6078" w:rsidR="004F0F65" w:rsidRPr="00F343BE" w:rsidRDefault="004F0F65" w:rsidP="004F0F65">
      <w:pPr>
        <w:spacing w:line="480" w:lineRule="auto"/>
        <w:rPr>
          <w:sz w:val="22"/>
          <w:szCs w:val="22"/>
        </w:rPr>
      </w:pPr>
      <w:r w:rsidRPr="00F343BE">
        <w:rPr>
          <w:sz w:val="22"/>
          <w:szCs w:val="22"/>
        </w:rPr>
        <w:lastRenderedPageBreak/>
        <w:t>We are very fluent with these concepts – of indelibility and contingency as applied to the future – when it comes to our own biographies. But, as we enter the so-called Anthropocene, our wider societies are increasingly struggling with the fact that they now undeniably must be applied much further beyond, to the biography of the planet itself.</w:t>
      </w:r>
    </w:p>
    <w:p w14:paraId="5F827E8F" w14:textId="3131DB9D" w:rsidR="004F0F65" w:rsidRPr="00F343BE" w:rsidRDefault="004F0F65" w:rsidP="004F0F65">
      <w:pPr>
        <w:spacing w:line="480" w:lineRule="auto"/>
        <w:rPr>
          <w:sz w:val="22"/>
          <w:szCs w:val="22"/>
        </w:rPr>
      </w:pPr>
      <w:r w:rsidRPr="00F343BE">
        <w:rPr>
          <w:sz w:val="22"/>
          <w:szCs w:val="22"/>
        </w:rPr>
        <w:t>That is, our societies now daily struggle with the fact that what happens now has the potential for alter the future for Earth’s entire biosphere. In forms of nuclear waste, climate disruption, resource extraction, and mass extinction, we now recognise the arena – wherein what comes before can influence everything coming after, in ways that aren’t inevitable – has expanded far beyond the traditional remit of human affairs: having spilt into the deeper past, and further future, of Earth’s unfolding biosphere. Humankind now has the power to indelibly scar the planet’s future. The concepts of ‘contingency’ and ‘consequence’ have, by awful necessity, been stretched to the scale of globe and giga-annum.</w:t>
      </w:r>
    </w:p>
    <w:p w14:paraId="07A9F678" w14:textId="60C2D74C" w:rsidR="00BC5456" w:rsidRPr="00F343BE" w:rsidRDefault="004F0F65" w:rsidP="004F0F65">
      <w:pPr>
        <w:spacing w:line="480" w:lineRule="auto"/>
        <w:rPr>
          <w:sz w:val="22"/>
          <w:szCs w:val="22"/>
        </w:rPr>
      </w:pPr>
      <w:r w:rsidRPr="00F343BE">
        <w:rPr>
          <w:sz w:val="22"/>
          <w:szCs w:val="22"/>
        </w:rPr>
        <w:t xml:space="preserve">What follows is the story of how we got here. Even being aware of our predicament is a vast intellectual achievement, millennia and generations in the making. As with all concepts, our modern notions of contingency and futurity did not emerge from nowhere nor did they arrive fully formed. Concepts, like creatures, </w:t>
      </w:r>
      <w:proofErr w:type="gramStart"/>
      <w:r w:rsidRPr="00F343BE">
        <w:rPr>
          <w:sz w:val="22"/>
          <w:szCs w:val="22"/>
        </w:rPr>
        <w:t>evolve:</w:t>
      </w:r>
      <w:proofErr w:type="gramEnd"/>
      <w:r w:rsidRPr="00F343BE">
        <w:rPr>
          <w:sz w:val="22"/>
          <w:szCs w:val="22"/>
        </w:rPr>
        <w:t xml:space="preserve"> in that they are products of cumulated intricacy, and never arrive</w:t>
      </w:r>
      <w:r w:rsidRPr="00F343BE">
        <w:rPr>
          <w:i/>
          <w:iCs/>
          <w:sz w:val="22"/>
          <w:szCs w:val="22"/>
        </w:rPr>
        <w:t xml:space="preserve"> sui generis</w:t>
      </w:r>
      <w:r w:rsidRPr="00F343BE">
        <w:rPr>
          <w:sz w:val="22"/>
          <w:szCs w:val="22"/>
        </w:rPr>
        <w:t>. Their evolution takes trial and error, and cumulation and constellation of evidence, which, in turn, takes time.</w:t>
      </w:r>
    </w:p>
    <w:p w14:paraId="612A4ADA" w14:textId="7189B860" w:rsidR="00BC5456" w:rsidRPr="00F343BE" w:rsidRDefault="00BC5456" w:rsidP="00BC5456">
      <w:pPr>
        <w:spacing w:line="480" w:lineRule="auto"/>
        <w:rPr>
          <w:sz w:val="22"/>
          <w:szCs w:val="22"/>
        </w:rPr>
      </w:pPr>
      <w:r w:rsidRPr="00F343BE">
        <w:rPr>
          <w:sz w:val="22"/>
          <w:szCs w:val="22"/>
        </w:rPr>
        <w:t>The following</w:t>
      </w:r>
      <w:r w:rsidRPr="00F343BE">
        <w:rPr>
          <w:sz w:val="22"/>
          <w:szCs w:val="22"/>
        </w:rPr>
        <w:t xml:space="preserve"> </w:t>
      </w:r>
      <w:r w:rsidRPr="00F343BE">
        <w:rPr>
          <w:i/>
          <w:iCs/>
          <w:sz w:val="22"/>
          <w:szCs w:val="22"/>
        </w:rPr>
        <w:t xml:space="preserve">Element </w:t>
      </w:r>
      <w:r w:rsidRPr="00F343BE">
        <w:rPr>
          <w:sz w:val="22"/>
          <w:szCs w:val="22"/>
        </w:rPr>
        <w:t xml:space="preserve">is titled </w:t>
      </w:r>
      <w:r w:rsidRPr="00F343BE">
        <w:rPr>
          <w:i/>
          <w:iCs/>
          <w:sz w:val="22"/>
          <w:szCs w:val="22"/>
        </w:rPr>
        <w:t xml:space="preserve">The History of Contingency &amp; Future Oriented Thought. </w:t>
      </w:r>
      <w:r w:rsidRPr="00F343BE">
        <w:rPr>
          <w:sz w:val="22"/>
          <w:szCs w:val="22"/>
        </w:rPr>
        <w:t>It tells</w:t>
      </w:r>
      <w:r w:rsidRPr="00F343BE">
        <w:rPr>
          <w:sz w:val="22"/>
          <w:szCs w:val="22"/>
        </w:rPr>
        <w:t xml:space="preserve"> the story of how the modern scientific worldview’s notion of contingency was pieced together, thus ballooning not only our sense of how much time might be ahead, but also our estimation of how divergently it might permanently play out.</w:t>
      </w:r>
    </w:p>
    <w:p w14:paraId="2E8681A3" w14:textId="77777777" w:rsidR="00BC5456" w:rsidRPr="00F343BE" w:rsidRDefault="00BC5456" w:rsidP="00BC5456">
      <w:pPr>
        <w:spacing w:line="480" w:lineRule="auto"/>
        <w:rPr>
          <w:sz w:val="22"/>
          <w:szCs w:val="22"/>
        </w:rPr>
      </w:pPr>
      <w:r w:rsidRPr="00F343BE">
        <w:rPr>
          <w:sz w:val="22"/>
          <w:szCs w:val="22"/>
        </w:rPr>
        <w:t xml:space="preserve">Indeed, properly grappling with the future is never just about gauging how much further time could be ahead. It also involves uncovering how divergently everything about the present would be if events in the past, which didn’t need to have happened, had played out differently. Because, only by coming to terms with this, do we grapple with just how </w:t>
      </w:r>
      <w:r w:rsidRPr="00F343BE">
        <w:rPr>
          <w:i/>
          <w:iCs/>
          <w:sz w:val="22"/>
          <w:szCs w:val="22"/>
        </w:rPr>
        <w:t xml:space="preserve">open </w:t>
      </w:r>
      <w:r w:rsidRPr="00F343BE">
        <w:rPr>
          <w:sz w:val="22"/>
          <w:szCs w:val="22"/>
        </w:rPr>
        <w:t xml:space="preserve">and </w:t>
      </w:r>
      <w:r w:rsidRPr="00F343BE">
        <w:rPr>
          <w:i/>
          <w:iCs/>
          <w:sz w:val="22"/>
          <w:szCs w:val="22"/>
        </w:rPr>
        <w:t xml:space="preserve">contingent </w:t>
      </w:r>
      <w:r w:rsidRPr="00F343BE">
        <w:rPr>
          <w:sz w:val="22"/>
          <w:szCs w:val="22"/>
        </w:rPr>
        <w:t>what’s ahead might also be.</w:t>
      </w:r>
    </w:p>
    <w:p w14:paraId="0D647006" w14:textId="77777777" w:rsidR="00BC5456" w:rsidRPr="00F343BE" w:rsidRDefault="00BC5456" w:rsidP="004F0F65">
      <w:pPr>
        <w:spacing w:line="480" w:lineRule="auto"/>
        <w:rPr>
          <w:sz w:val="22"/>
          <w:szCs w:val="22"/>
        </w:rPr>
      </w:pPr>
    </w:p>
    <w:p w14:paraId="22E58589" w14:textId="77777777" w:rsidR="004F0F65" w:rsidRPr="00F343BE" w:rsidRDefault="004F0F65" w:rsidP="004F0F65">
      <w:pPr>
        <w:spacing w:line="480" w:lineRule="auto"/>
        <w:rPr>
          <w:sz w:val="22"/>
          <w:szCs w:val="22"/>
        </w:rPr>
      </w:pPr>
    </w:p>
    <w:p w14:paraId="6361B307" w14:textId="77777777" w:rsidR="004F0F65" w:rsidRPr="00F343BE" w:rsidRDefault="004F0F65" w:rsidP="004F0F65">
      <w:pPr>
        <w:spacing w:line="480" w:lineRule="auto"/>
        <w:rPr>
          <w:sz w:val="22"/>
          <w:szCs w:val="22"/>
        </w:rPr>
      </w:pPr>
    </w:p>
    <w:p w14:paraId="0CF91DAA" w14:textId="77777777" w:rsidR="004F0F65" w:rsidRPr="00F343BE" w:rsidRDefault="004F0F65" w:rsidP="004F0F65">
      <w:pPr>
        <w:spacing w:line="480" w:lineRule="auto"/>
        <w:rPr>
          <w:sz w:val="22"/>
          <w:szCs w:val="22"/>
        </w:rPr>
      </w:pPr>
    </w:p>
    <w:p w14:paraId="7C9D3136" w14:textId="77777777" w:rsidR="004F0F65" w:rsidRPr="00F343BE" w:rsidRDefault="004F0F65" w:rsidP="00571F39">
      <w:pPr>
        <w:spacing w:line="480" w:lineRule="auto"/>
        <w:rPr>
          <w:sz w:val="22"/>
          <w:szCs w:val="22"/>
        </w:rPr>
      </w:pPr>
    </w:p>
    <w:p w14:paraId="5B58F7E4" w14:textId="77777777" w:rsidR="00571F39" w:rsidRPr="00F343BE" w:rsidRDefault="00571F39" w:rsidP="00571F39">
      <w:pPr>
        <w:spacing w:line="480" w:lineRule="auto"/>
        <w:rPr>
          <w:sz w:val="22"/>
          <w:szCs w:val="22"/>
        </w:rPr>
      </w:pPr>
    </w:p>
    <w:p w14:paraId="59943BC6" w14:textId="77777777" w:rsidR="00571F39" w:rsidRPr="00F343BE" w:rsidRDefault="00571F39" w:rsidP="00571F39">
      <w:pPr>
        <w:spacing w:line="480" w:lineRule="auto"/>
        <w:rPr>
          <w:sz w:val="22"/>
          <w:szCs w:val="22"/>
        </w:rPr>
      </w:pPr>
    </w:p>
    <w:p w14:paraId="5E605CEC" w14:textId="77777777" w:rsidR="00571F39" w:rsidRPr="00F343BE" w:rsidRDefault="00571F39" w:rsidP="00571F39">
      <w:pPr>
        <w:spacing w:line="480" w:lineRule="auto"/>
        <w:rPr>
          <w:sz w:val="22"/>
          <w:szCs w:val="22"/>
        </w:rPr>
      </w:pPr>
    </w:p>
    <w:p w14:paraId="16095BB0" w14:textId="77777777" w:rsidR="00571F39" w:rsidRPr="00F343BE" w:rsidRDefault="00571F39" w:rsidP="00571F39">
      <w:pPr>
        <w:spacing w:line="480" w:lineRule="auto"/>
        <w:rPr>
          <w:sz w:val="22"/>
          <w:szCs w:val="22"/>
        </w:rPr>
      </w:pPr>
    </w:p>
    <w:p w14:paraId="0C794A7B" w14:textId="77777777" w:rsidR="00571F39" w:rsidRPr="00F343BE" w:rsidRDefault="00571F39" w:rsidP="00571F39">
      <w:pPr>
        <w:spacing w:line="480" w:lineRule="auto"/>
        <w:rPr>
          <w:sz w:val="22"/>
          <w:szCs w:val="22"/>
        </w:rPr>
      </w:pPr>
    </w:p>
    <w:p w14:paraId="0E30E604" w14:textId="77777777" w:rsidR="00CB390F" w:rsidRPr="00F343BE" w:rsidRDefault="00CB390F">
      <w:pPr>
        <w:rPr>
          <w:sz w:val="22"/>
          <w:szCs w:val="22"/>
        </w:rPr>
      </w:pPr>
    </w:p>
    <w:sectPr w:rsidR="00CB390F" w:rsidRPr="00F343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D5F7E" w14:textId="77777777" w:rsidR="00BE3320" w:rsidRDefault="00BE3320" w:rsidP="004F0F65">
      <w:r>
        <w:separator/>
      </w:r>
    </w:p>
  </w:endnote>
  <w:endnote w:type="continuationSeparator" w:id="0">
    <w:p w14:paraId="23D3308E" w14:textId="77777777" w:rsidR="00BE3320" w:rsidRDefault="00BE3320" w:rsidP="004F0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kkurat Std">
    <w:altName w:val="Calibri"/>
    <w:panose1 w:val="020B0504020101020102"/>
    <w:charset w:val="00"/>
    <w:family w:val="swiss"/>
    <w:notTrueType/>
    <w:pitch w:val="variable"/>
    <w:sig w:usb0="800000AF" w:usb1="4000216A" w:usb2="00000008" w:usb3="00000000" w:csb0="00000001" w:csb1="00000000"/>
  </w:font>
  <w:font w:name="Replica Pro Regular">
    <w:altName w:val="Calibri"/>
    <w:panose1 w:val="02000503030000020004"/>
    <w:charset w:val="00"/>
    <w:family w:val="modern"/>
    <w:notTrueType/>
    <w:pitch w:val="variable"/>
    <w:sig w:usb0="A00000BF" w:usb1="4000206A" w:usb2="00000000" w:usb3="00000000" w:csb0="00000093" w:csb1="00000000"/>
  </w:font>
  <w:font w:name="Lora">
    <w:altName w:val="Lora"/>
    <w:charset w:val="00"/>
    <w:family w:val="auto"/>
    <w:pitch w:val="variable"/>
    <w:sig w:usb0="A00002FF" w:usb1="5000204B" w:usb2="00000000" w:usb3="00000000" w:csb0="00000097"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1B25A" w14:textId="77777777" w:rsidR="00BE3320" w:rsidRDefault="00BE3320" w:rsidP="004F0F65">
      <w:r>
        <w:separator/>
      </w:r>
    </w:p>
  </w:footnote>
  <w:footnote w:type="continuationSeparator" w:id="0">
    <w:p w14:paraId="09FD9989" w14:textId="77777777" w:rsidR="00BE3320" w:rsidRDefault="00BE3320" w:rsidP="004F0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39"/>
    <w:rsid w:val="002D33D7"/>
    <w:rsid w:val="0037081D"/>
    <w:rsid w:val="003829F0"/>
    <w:rsid w:val="004112CE"/>
    <w:rsid w:val="00491D2D"/>
    <w:rsid w:val="004F0F65"/>
    <w:rsid w:val="00571F39"/>
    <w:rsid w:val="0058697C"/>
    <w:rsid w:val="005C399C"/>
    <w:rsid w:val="006E4AB7"/>
    <w:rsid w:val="00911FAA"/>
    <w:rsid w:val="00A36F3C"/>
    <w:rsid w:val="00BB257C"/>
    <w:rsid w:val="00BC5456"/>
    <w:rsid w:val="00BE3320"/>
    <w:rsid w:val="00CB390F"/>
    <w:rsid w:val="00DE358F"/>
    <w:rsid w:val="00F343BE"/>
    <w:rsid w:val="00F45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D5499"/>
  <w15:chartTrackingRefBased/>
  <w15:docId w15:val="{33C13CDA-A86C-4AE3-9805-7D97BAAE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F39"/>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37081D"/>
    <w:pPr>
      <w:keepNext/>
      <w:keepLines/>
      <w:spacing w:before="240" w:after="120" w:line="259" w:lineRule="auto"/>
      <w:jc w:val="both"/>
      <w:outlineLvl w:val="0"/>
    </w:pPr>
    <w:rPr>
      <w:rFonts w:ascii="Akkurat Std" w:eastAsiaTheme="majorEastAsia" w:hAnsi="Akkurat Std" w:cstheme="majorBidi"/>
      <w:b/>
      <w:color w:val="000000" w:themeColor="text1"/>
      <w:kern w:val="2"/>
      <w:sz w:val="40"/>
      <w:szCs w:val="32"/>
      <w:u w:val="single"/>
      <w:lang w:eastAsia="en-US"/>
      <w14:ligatures w14:val="standardContextual"/>
    </w:rPr>
  </w:style>
  <w:style w:type="paragraph" w:styleId="Heading2">
    <w:name w:val="heading 2"/>
    <w:basedOn w:val="Normal"/>
    <w:next w:val="Normal"/>
    <w:link w:val="Heading2Char"/>
    <w:uiPriority w:val="9"/>
    <w:unhideWhenUsed/>
    <w:qFormat/>
    <w:rsid w:val="0037081D"/>
    <w:pPr>
      <w:keepNext/>
      <w:keepLines/>
      <w:spacing w:before="40" w:after="240" w:line="259" w:lineRule="auto"/>
      <w:jc w:val="both"/>
      <w:outlineLvl w:val="1"/>
    </w:pPr>
    <w:rPr>
      <w:rFonts w:ascii="Replica Pro Regular" w:eastAsiaTheme="majorEastAsia" w:hAnsi="Replica Pro Regular" w:cstheme="majorBidi"/>
      <w:color w:val="000000" w:themeColor="text1"/>
      <w:kern w:val="2"/>
      <w:sz w:val="32"/>
      <w:szCs w:val="26"/>
      <w:u w:val="single"/>
      <w:lang w:eastAsia="en-US"/>
      <w14:ligatures w14:val="standardContextual"/>
    </w:rPr>
  </w:style>
  <w:style w:type="paragraph" w:styleId="Heading3">
    <w:name w:val="heading 3"/>
    <w:basedOn w:val="Normal"/>
    <w:next w:val="Normal"/>
    <w:link w:val="Heading3Char"/>
    <w:uiPriority w:val="9"/>
    <w:unhideWhenUsed/>
    <w:qFormat/>
    <w:rsid w:val="0037081D"/>
    <w:pPr>
      <w:keepNext/>
      <w:keepLines/>
      <w:spacing w:before="40" w:after="240" w:line="259" w:lineRule="auto"/>
      <w:jc w:val="both"/>
      <w:outlineLvl w:val="2"/>
    </w:pPr>
    <w:rPr>
      <w:rFonts w:ascii="Akkurat Std" w:eastAsiaTheme="majorEastAsia" w:hAnsi="Akkurat Std" w:cstheme="majorBidi"/>
      <w:kern w:val="2"/>
      <w:u w:val="single"/>
      <w:lang w:eastAsia="en-US"/>
      <w14:ligatures w14:val="standardContextual"/>
    </w:rPr>
  </w:style>
  <w:style w:type="paragraph" w:styleId="Heading4">
    <w:name w:val="heading 4"/>
    <w:basedOn w:val="Normal"/>
    <w:next w:val="Normal"/>
    <w:link w:val="Heading4Char"/>
    <w:uiPriority w:val="9"/>
    <w:semiHidden/>
    <w:unhideWhenUsed/>
    <w:qFormat/>
    <w:rsid w:val="00571F39"/>
    <w:pPr>
      <w:keepNext/>
      <w:keepLines/>
      <w:spacing w:before="80" w:after="40" w:line="259" w:lineRule="auto"/>
      <w:jc w:val="both"/>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571F39"/>
    <w:pPr>
      <w:keepNext/>
      <w:keepLines/>
      <w:spacing w:before="80" w:after="40" w:line="259" w:lineRule="auto"/>
      <w:jc w:val="both"/>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571F39"/>
    <w:pPr>
      <w:keepNext/>
      <w:keepLines/>
      <w:spacing w:before="40" w:line="259" w:lineRule="auto"/>
      <w:jc w:val="both"/>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571F39"/>
    <w:pPr>
      <w:keepNext/>
      <w:keepLines/>
      <w:spacing w:before="40" w:line="259" w:lineRule="auto"/>
      <w:jc w:val="both"/>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571F39"/>
    <w:pPr>
      <w:keepNext/>
      <w:keepLines/>
      <w:spacing w:line="259" w:lineRule="auto"/>
      <w:jc w:val="both"/>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571F39"/>
    <w:pPr>
      <w:keepNext/>
      <w:keepLines/>
      <w:spacing w:line="259" w:lineRule="auto"/>
      <w:jc w:val="both"/>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81D"/>
    <w:rPr>
      <w:rFonts w:ascii="Akkurat Std" w:eastAsiaTheme="majorEastAsia" w:hAnsi="Akkurat Std" w:cstheme="majorBidi"/>
      <w:b/>
      <w:color w:val="000000" w:themeColor="text1"/>
      <w:sz w:val="40"/>
      <w:szCs w:val="32"/>
      <w:u w:val="single"/>
    </w:rPr>
  </w:style>
  <w:style w:type="character" w:customStyle="1" w:styleId="Heading2Char">
    <w:name w:val="Heading 2 Char"/>
    <w:basedOn w:val="DefaultParagraphFont"/>
    <w:link w:val="Heading2"/>
    <w:uiPriority w:val="9"/>
    <w:rsid w:val="0037081D"/>
    <w:rPr>
      <w:rFonts w:ascii="Replica Pro Regular" w:eastAsiaTheme="majorEastAsia" w:hAnsi="Replica Pro Regular" w:cstheme="majorBidi"/>
      <w:color w:val="000000" w:themeColor="text1"/>
      <w:sz w:val="32"/>
      <w:szCs w:val="26"/>
      <w:u w:val="single"/>
    </w:rPr>
  </w:style>
  <w:style w:type="character" w:customStyle="1" w:styleId="Heading3Char">
    <w:name w:val="Heading 3 Char"/>
    <w:basedOn w:val="DefaultParagraphFont"/>
    <w:link w:val="Heading3"/>
    <w:uiPriority w:val="9"/>
    <w:rsid w:val="0037081D"/>
    <w:rPr>
      <w:rFonts w:ascii="Akkurat Std" w:eastAsiaTheme="majorEastAsia" w:hAnsi="Akkurat Std" w:cstheme="majorBidi"/>
      <w:sz w:val="24"/>
      <w:szCs w:val="24"/>
      <w:u w:val="single"/>
    </w:rPr>
  </w:style>
  <w:style w:type="paragraph" w:customStyle="1" w:styleId="Citations">
    <w:name w:val="Citations"/>
    <w:basedOn w:val="EndnoteText"/>
    <w:link w:val="CitationsChar"/>
    <w:qFormat/>
    <w:rsid w:val="0037081D"/>
    <w:pPr>
      <w:spacing w:after="40"/>
      <w:ind w:left="720" w:hanging="720"/>
    </w:pPr>
    <w:rPr>
      <w:kern w:val="2"/>
      <w14:ligatures w14:val="standardContextual"/>
    </w:rPr>
  </w:style>
  <w:style w:type="character" w:customStyle="1" w:styleId="CitationsChar">
    <w:name w:val="Citations Char"/>
    <w:basedOn w:val="EndnoteTextChar"/>
    <w:link w:val="Citations"/>
    <w:rsid w:val="0037081D"/>
    <w:rPr>
      <w:rFonts w:ascii="Lora" w:hAnsi="Lora"/>
      <w:kern w:val="0"/>
      <w:sz w:val="20"/>
      <w:szCs w:val="20"/>
      <w14:ligatures w14:val="none"/>
    </w:rPr>
  </w:style>
  <w:style w:type="paragraph" w:styleId="EndnoteText">
    <w:name w:val="endnote text"/>
    <w:basedOn w:val="Normal"/>
    <w:link w:val="EndnoteTextChar"/>
    <w:uiPriority w:val="99"/>
    <w:semiHidden/>
    <w:unhideWhenUsed/>
    <w:rsid w:val="0037081D"/>
    <w:pPr>
      <w:jc w:val="both"/>
    </w:pPr>
    <w:rPr>
      <w:rFonts w:ascii="Lora" w:eastAsiaTheme="minorHAnsi" w:hAnsi="Lora" w:cstheme="minorBidi"/>
      <w:sz w:val="20"/>
      <w:szCs w:val="20"/>
      <w:lang w:eastAsia="en-US"/>
    </w:rPr>
  </w:style>
  <w:style w:type="character" w:customStyle="1" w:styleId="EndnoteTextChar">
    <w:name w:val="Endnote Text Char"/>
    <w:basedOn w:val="DefaultParagraphFont"/>
    <w:link w:val="EndnoteText"/>
    <w:uiPriority w:val="99"/>
    <w:semiHidden/>
    <w:rsid w:val="0037081D"/>
    <w:rPr>
      <w:rFonts w:ascii="Lora" w:hAnsi="Lora"/>
      <w:kern w:val="0"/>
      <w:sz w:val="20"/>
      <w:szCs w:val="20"/>
      <w14:ligatures w14:val="none"/>
    </w:rPr>
  </w:style>
  <w:style w:type="paragraph" w:styleId="Quote">
    <w:name w:val="Quote"/>
    <w:basedOn w:val="Normal"/>
    <w:next w:val="Normal"/>
    <w:link w:val="QuoteChar"/>
    <w:uiPriority w:val="29"/>
    <w:qFormat/>
    <w:rsid w:val="00491D2D"/>
    <w:pPr>
      <w:spacing w:before="200" w:after="160" w:line="259" w:lineRule="auto"/>
      <w:ind w:left="1418" w:right="1418"/>
      <w:jc w:val="both"/>
    </w:pPr>
    <w:rPr>
      <w:rFonts w:ascii="Lora" w:eastAsia="Aptos" w:hAnsi="Lora"/>
      <w:iCs/>
      <w:color w:val="3A3A3A" w:themeColor="background2" w:themeShade="40"/>
      <w:kern w:val="2"/>
      <w:sz w:val="22"/>
      <w:szCs w:val="22"/>
      <w:lang w:val="en-US" w:eastAsia="en-US"/>
      <w14:ligatures w14:val="standardContextual"/>
    </w:rPr>
  </w:style>
  <w:style w:type="character" w:customStyle="1" w:styleId="QuoteChar">
    <w:name w:val="Quote Char"/>
    <w:basedOn w:val="DefaultParagraphFont"/>
    <w:link w:val="Quote"/>
    <w:uiPriority w:val="29"/>
    <w:rsid w:val="00491D2D"/>
    <w:rPr>
      <w:rFonts w:ascii="Lora" w:eastAsia="Aptos" w:hAnsi="Lora" w:cs="Times New Roman"/>
      <w:iCs/>
      <w:color w:val="3A3A3A" w:themeColor="background2" w:themeShade="40"/>
      <w:lang w:val="en-US"/>
    </w:rPr>
  </w:style>
  <w:style w:type="paragraph" w:styleId="IntenseQuote">
    <w:name w:val="Intense Quote"/>
    <w:aliases w:val="Poetry Quote"/>
    <w:basedOn w:val="Normal"/>
    <w:next w:val="Normal"/>
    <w:link w:val="IntenseQuoteChar"/>
    <w:uiPriority w:val="30"/>
    <w:qFormat/>
    <w:rsid w:val="00491D2D"/>
    <w:pPr>
      <w:spacing w:after="160" w:line="259" w:lineRule="auto"/>
      <w:ind w:left="3600"/>
    </w:pPr>
    <w:rPr>
      <w:rFonts w:ascii="Lora" w:eastAsiaTheme="minorHAnsi" w:hAnsi="Lora" w:cstheme="minorBidi"/>
      <w:sz w:val="22"/>
      <w:szCs w:val="22"/>
      <w:lang w:val="en-US" w:eastAsia="en-US"/>
    </w:rPr>
  </w:style>
  <w:style w:type="character" w:customStyle="1" w:styleId="IntenseQuoteChar">
    <w:name w:val="Intense Quote Char"/>
    <w:aliases w:val="Poetry Quote Char"/>
    <w:basedOn w:val="DefaultParagraphFont"/>
    <w:link w:val="IntenseQuote"/>
    <w:uiPriority w:val="30"/>
    <w:rsid w:val="00491D2D"/>
    <w:rPr>
      <w:rFonts w:ascii="Lora" w:hAnsi="Lora"/>
      <w:kern w:val="0"/>
      <w:lang w:val="en-US"/>
      <w14:ligatures w14:val="none"/>
    </w:rPr>
  </w:style>
  <w:style w:type="paragraph" w:customStyle="1" w:styleId="Reference">
    <w:name w:val="Reference"/>
    <w:basedOn w:val="EndnoteText"/>
    <w:link w:val="ReferenceChar"/>
    <w:qFormat/>
    <w:rsid w:val="0037081D"/>
    <w:pPr>
      <w:spacing w:after="40"/>
      <w:ind w:left="720" w:hanging="720"/>
    </w:pPr>
  </w:style>
  <w:style w:type="character" w:customStyle="1" w:styleId="ReferenceChar">
    <w:name w:val="Reference Char"/>
    <w:basedOn w:val="EndnoteTextChar"/>
    <w:link w:val="Reference"/>
    <w:rsid w:val="0037081D"/>
    <w:rPr>
      <w:rFonts w:ascii="Lora" w:hAnsi="Lora"/>
      <w:kern w:val="0"/>
      <w:sz w:val="20"/>
      <w:szCs w:val="20"/>
      <w14:ligatures w14:val="none"/>
    </w:rPr>
  </w:style>
  <w:style w:type="character" w:customStyle="1" w:styleId="Heading4Char">
    <w:name w:val="Heading 4 Char"/>
    <w:basedOn w:val="DefaultParagraphFont"/>
    <w:link w:val="Heading4"/>
    <w:uiPriority w:val="9"/>
    <w:semiHidden/>
    <w:rsid w:val="00571F39"/>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571F39"/>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571F39"/>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571F39"/>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571F39"/>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571F39"/>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571F39"/>
    <w:pPr>
      <w:spacing w:after="80"/>
      <w:contextualSpacing/>
      <w:jc w:val="both"/>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571F3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571F39"/>
    <w:pPr>
      <w:numPr>
        <w:ilvl w:val="1"/>
      </w:numPr>
      <w:spacing w:after="160" w:line="259" w:lineRule="auto"/>
      <w:jc w:val="both"/>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571F39"/>
    <w:rPr>
      <w:rFonts w:eastAsiaTheme="majorEastAsia" w:cstheme="majorBidi"/>
      <w:color w:val="595959" w:themeColor="text1" w:themeTint="A6"/>
      <w:spacing w:val="15"/>
      <w:kern w:val="0"/>
      <w:sz w:val="28"/>
      <w:szCs w:val="28"/>
      <w14:ligatures w14:val="none"/>
    </w:rPr>
  </w:style>
  <w:style w:type="paragraph" w:styleId="ListParagraph">
    <w:name w:val="List Paragraph"/>
    <w:basedOn w:val="Normal"/>
    <w:uiPriority w:val="34"/>
    <w:qFormat/>
    <w:rsid w:val="00571F39"/>
    <w:pPr>
      <w:spacing w:after="160" w:line="259" w:lineRule="auto"/>
      <w:ind w:left="720"/>
      <w:contextualSpacing/>
      <w:jc w:val="both"/>
    </w:pPr>
    <w:rPr>
      <w:rFonts w:ascii="Lora" w:eastAsiaTheme="minorHAnsi" w:hAnsi="Lora" w:cstheme="minorBidi"/>
      <w:sz w:val="22"/>
      <w:szCs w:val="22"/>
      <w:lang w:eastAsia="en-US"/>
    </w:rPr>
  </w:style>
  <w:style w:type="character" w:styleId="IntenseEmphasis">
    <w:name w:val="Intense Emphasis"/>
    <w:basedOn w:val="DefaultParagraphFont"/>
    <w:uiPriority w:val="21"/>
    <w:qFormat/>
    <w:rsid w:val="00571F39"/>
    <w:rPr>
      <w:i/>
      <w:iCs/>
      <w:color w:val="0F4761" w:themeColor="accent1" w:themeShade="BF"/>
    </w:rPr>
  </w:style>
  <w:style w:type="character" w:styleId="IntenseReference">
    <w:name w:val="Intense Reference"/>
    <w:basedOn w:val="DefaultParagraphFont"/>
    <w:uiPriority w:val="32"/>
    <w:qFormat/>
    <w:rsid w:val="00571F39"/>
    <w:rPr>
      <w:b/>
      <w:bCs/>
      <w:smallCaps/>
      <w:color w:val="0F4761" w:themeColor="accent1" w:themeShade="BF"/>
      <w:spacing w:val="5"/>
    </w:rPr>
  </w:style>
  <w:style w:type="paragraph" w:styleId="FootnoteText">
    <w:name w:val="footnote text"/>
    <w:basedOn w:val="Normal"/>
    <w:link w:val="FootnoteTextChar"/>
    <w:uiPriority w:val="99"/>
    <w:unhideWhenUsed/>
    <w:rsid w:val="004F0F65"/>
    <w:rPr>
      <w:sz w:val="20"/>
      <w:szCs w:val="20"/>
    </w:rPr>
  </w:style>
  <w:style w:type="character" w:customStyle="1" w:styleId="FootnoteTextChar">
    <w:name w:val="Footnote Text Char"/>
    <w:basedOn w:val="DefaultParagraphFont"/>
    <w:link w:val="FootnoteText"/>
    <w:uiPriority w:val="99"/>
    <w:rsid w:val="004F0F65"/>
    <w:rPr>
      <w:rFonts w:ascii="Times New Roman" w:eastAsia="Times New Roman" w:hAnsi="Times New Roman" w:cs="Times New Roman"/>
      <w:kern w:val="0"/>
      <w:sz w:val="20"/>
      <w:szCs w:val="20"/>
      <w:lang w:eastAsia="en-GB"/>
      <w14:ligatures w14:val="none"/>
    </w:rPr>
  </w:style>
  <w:style w:type="character" w:styleId="FootnoteReference">
    <w:name w:val="footnote reference"/>
    <w:rsid w:val="004F0F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Moynihan</dc:creator>
  <cp:keywords/>
  <dc:description/>
  <cp:lastModifiedBy>Thomas Moynihan</cp:lastModifiedBy>
  <cp:revision>1</cp:revision>
  <dcterms:created xsi:type="dcterms:W3CDTF">2025-11-29T11:40:00Z</dcterms:created>
  <dcterms:modified xsi:type="dcterms:W3CDTF">2025-11-29T12:24:00Z</dcterms:modified>
</cp:coreProperties>
</file>